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1B4F5236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AE5C3C">
        <w:rPr>
          <w:rFonts w:ascii="Arial" w:hAnsi="Arial" w:cs="Arial"/>
          <w:color w:val="000000"/>
          <w:sz w:val="20"/>
          <w:szCs w:val="20"/>
        </w:rPr>
        <w:t>Praha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</w:t>
      </w:r>
      <w:r w:rsidR="0024031E">
        <w:rPr>
          <w:rFonts w:ascii="Arial" w:hAnsi="Arial" w:cs="Arial"/>
          <w:color w:val="000000"/>
          <w:sz w:val="20"/>
          <w:szCs w:val="20"/>
        </w:rPr>
        <w:t>27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24031E">
        <w:rPr>
          <w:rFonts w:ascii="Arial" w:hAnsi="Arial" w:cs="Arial"/>
          <w:color w:val="000000"/>
          <w:sz w:val="20"/>
          <w:szCs w:val="20"/>
        </w:rPr>
        <w:t>dubna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24031E">
        <w:rPr>
          <w:rFonts w:ascii="Arial" w:hAnsi="Arial" w:cs="Arial"/>
          <w:color w:val="000000"/>
          <w:sz w:val="20"/>
          <w:szCs w:val="20"/>
        </w:rPr>
        <w:t>6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147B237E" w14:textId="77777777" w:rsidR="00D477C0" w:rsidRDefault="00D477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F6B46E2" w14:textId="53967F48" w:rsidR="00AF1AA4" w:rsidRPr="006C45FA" w:rsidRDefault="006C45FA" w:rsidP="00AF1AA4">
      <w:pPr>
        <w:pStyle w:val="Bodytext"/>
        <w:rPr>
          <w:lang w:val="cs-CZ"/>
        </w:rPr>
      </w:pPr>
      <w:r w:rsidRPr="006C45FA">
        <w:rPr>
          <w:sz w:val="40"/>
          <w:lang w:val="cs-CZ"/>
        </w:rPr>
        <w:t>Siemens a Humanoid testují humanoidy s</w:t>
      </w:r>
      <w:r w:rsidR="003404C0">
        <w:rPr>
          <w:sz w:val="40"/>
          <w:lang w:val="cs-CZ"/>
        </w:rPr>
        <w:t> </w:t>
      </w:r>
      <w:r w:rsidRPr="006C45FA">
        <w:rPr>
          <w:sz w:val="40"/>
          <w:lang w:val="cs-CZ"/>
        </w:rPr>
        <w:t>technologiemi NVIDIA v reálném průmyslovém provozu</w:t>
      </w:r>
    </w:p>
    <w:p w14:paraId="28483EF6" w14:textId="77777777" w:rsidR="002577BB" w:rsidRPr="002577BB" w:rsidRDefault="002577BB" w:rsidP="00F85C3B">
      <w:pPr>
        <w:pStyle w:val="Bodytext"/>
        <w:numPr>
          <w:ilvl w:val="0"/>
          <w:numId w:val="7"/>
        </w:numPr>
        <w:ind w:right="963"/>
        <w:rPr>
          <w:b/>
          <w:lang w:val="cs-CZ"/>
        </w:rPr>
      </w:pPr>
      <w:r w:rsidRPr="002577BB">
        <w:rPr>
          <w:b/>
          <w:lang w:val="cs-CZ"/>
        </w:rPr>
        <w:t xml:space="preserve">Siemens a NVIDIA představují reálný výsledek strategického partnerství zaměřeného na výstavbu adaptivních výrobních závodů plně řízených umělou inteligencí: závod Siemens v německém </w:t>
      </w:r>
      <w:proofErr w:type="spellStart"/>
      <w:r w:rsidRPr="002577BB">
        <w:rPr>
          <w:b/>
          <w:lang w:val="cs-CZ"/>
        </w:rPr>
        <w:t>Erlangenu</w:t>
      </w:r>
      <w:proofErr w:type="spellEnd"/>
      <w:r w:rsidRPr="002577BB">
        <w:rPr>
          <w:b/>
          <w:lang w:val="cs-CZ"/>
        </w:rPr>
        <w:t xml:space="preserve"> testuje humanoidního robota</w:t>
      </w:r>
    </w:p>
    <w:p w14:paraId="76A4357C" w14:textId="77777777" w:rsidR="002577BB" w:rsidRPr="002577BB" w:rsidRDefault="002577BB" w:rsidP="00F85C3B">
      <w:pPr>
        <w:pStyle w:val="Bodytext"/>
        <w:numPr>
          <w:ilvl w:val="0"/>
          <w:numId w:val="7"/>
        </w:numPr>
        <w:ind w:right="963"/>
        <w:rPr>
          <w:b/>
          <w:lang w:val="cs-CZ"/>
        </w:rPr>
      </w:pPr>
      <w:r w:rsidRPr="002577BB">
        <w:rPr>
          <w:b/>
          <w:lang w:val="cs-CZ"/>
        </w:rPr>
        <w:t xml:space="preserve">Robot HMND 01 </w:t>
      </w:r>
      <w:proofErr w:type="spellStart"/>
      <w:r w:rsidRPr="002577BB">
        <w:rPr>
          <w:b/>
          <w:lang w:val="cs-CZ"/>
        </w:rPr>
        <w:t>Alpha</w:t>
      </w:r>
      <w:proofErr w:type="spellEnd"/>
      <w:r w:rsidRPr="002577BB">
        <w:rPr>
          <w:b/>
          <w:lang w:val="cs-CZ"/>
        </w:rPr>
        <w:t xml:space="preserve"> je speciálně vytvořen pro průmyslová prostředí a nabízí pokročilé manipulační funkce</w:t>
      </w:r>
    </w:p>
    <w:p w14:paraId="14A4D940" w14:textId="77777777" w:rsidR="002577BB" w:rsidRPr="002577BB" w:rsidRDefault="002577BB" w:rsidP="00F85C3B">
      <w:pPr>
        <w:pStyle w:val="Bodytext"/>
        <w:numPr>
          <w:ilvl w:val="0"/>
          <w:numId w:val="7"/>
        </w:numPr>
        <w:ind w:right="963"/>
        <w:rPr>
          <w:b/>
          <w:lang w:val="cs-CZ"/>
        </w:rPr>
      </w:pPr>
      <w:r w:rsidRPr="002577BB">
        <w:rPr>
          <w:b/>
          <w:lang w:val="cs-CZ"/>
        </w:rPr>
        <w:t xml:space="preserve">Platforma Siemens </w:t>
      </w:r>
      <w:proofErr w:type="spellStart"/>
      <w:r w:rsidRPr="002577BB">
        <w:rPr>
          <w:b/>
          <w:lang w:val="cs-CZ"/>
        </w:rPr>
        <w:t>Xcelerator</w:t>
      </w:r>
      <w:proofErr w:type="spellEnd"/>
      <w:r w:rsidRPr="002577BB">
        <w:rPr>
          <w:b/>
          <w:lang w:val="cs-CZ"/>
        </w:rPr>
        <w:t xml:space="preserve"> poskytuje škálovatelné portfolio řešení, která lze začlenit do provozu průmyslových podniků</w:t>
      </w:r>
    </w:p>
    <w:p w14:paraId="132F21D4" w14:textId="77777777" w:rsidR="002577BB" w:rsidRPr="002577BB" w:rsidRDefault="002577BB" w:rsidP="00F85C3B">
      <w:pPr>
        <w:pStyle w:val="Bodytext"/>
        <w:numPr>
          <w:ilvl w:val="0"/>
          <w:numId w:val="7"/>
        </w:numPr>
        <w:ind w:right="963"/>
        <w:rPr>
          <w:b/>
          <w:lang w:val="cs-CZ"/>
        </w:rPr>
      </w:pPr>
      <w:r w:rsidRPr="002577BB">
        <w:rPr>
          <w:b/>
          <w:lang w:val="cs-CZ"/>
        </w:rPr>
        <w:t>NVIDIA urychluje simulace a vývoj pro rychlejší nasazení humanoidních robotů</w:t>
      </w:r>
    </w:p>
    <w:p w14:paraId="13ABC036" w14:textId="77777777" w:rsidR="002577BB" w:rsidRDefault="002577BB" w:rsidP="00F85C3B">
      <w:pPr>
        <w:pStyle w:val="Bodytext"/>
        <w:ind w:right="963"/>
      </w:pPr>
    </w:p>
    <w:p w14:paraId="58DA51D3" w14:textId="4D05FC83" w:rsidR="0038020E" w:rsidRPr="005763C8" w:rsidRDefault="0038020E" w:rsidP="00F85C3B">
      <w:pPr>
        <w:pStyle w:val="Bodytext"/>
        <w:ind w:right="963"/>
        <w:rPr>
          <w:lang w:val="cs-CZ"/>
        </w:rPr>
      </w:pPr>
      <w:r w:rsidRPr="005763C8">
        <w:rPr>
          <w:lang w:val="cs-CZ"/>
        </w:rPr>
        <w:t xml:space="preserve">Společnosti Siemens a Humanoid dosáhly zásadního mezníku ve snaze proměnit fyzickou umělou inteligenci (AI) v průmyslových provozech z vize v realitu. Kolový robot Humanoid HMND 01 </w:t>
      </w:r>
      <w:proofErr w:type="spellStart"/>
      <w:r w:rsidRPr="005763C8">
        <w:rPr>
          <w:lang w:val="cs-CZ"/>
        </w:rPr>
        <w:t>Alpha</w:t>
      </w:r>
      <w:proofErr w:type="spellEnd"/>
      <w:r w:rsidRPr="005763C8">
        <w:rPr>
          <w:lang w:val="cs-CZ"/>
        </w:rPr>
        <w:t>, který byl vytvořen s využitím technologií NVIDIA pro fyzickou umělou inteligenci, byl úspěšně testován v závodu Siemens na výrobu elektronicky v</w:t>
      </w:r>
      <w:r w:rsidR="004E6EF1">
        <w:rPr>
          <w:lang w:val="cs-CZ"/>
        </w:rPr>
        <w:t> </w:t>
      </w:r>
      <w:r w:rsidRPr="005763C8">
        <w:rPr>
          <w:lang w:val="cs-CZ"/>
        </w:rPr>
        <w:t xml:space="preserve">německém </w:t>
      </w:r>
      <w:proofErr w:type="spellStart"/>
      <w:r w:rsidRPr="005763C8">
        <w:rPr>
          <w:lang w:val="cs-CZ"/>
        </w:rPr>
        <w:t>Erlangenu</w:t>
      </w:r>
      <w:proofErr w:type="spellEnd"/>
      <w:r w:rsidRPr="005763C8">
        <w:rPr>
          <w:lang w:val="cs-CZ"/>
        </w:rPr>
        <w:t>, kde prováděl autonomní logistické úlohy. Tento krok navazuje na strategické partnerství, které společnosti Siemens a NVIDIA oznámily na konferenci CES s cílem vybudovat první adaptivní výrobní závody plně řízené umělou inteligencí.</w:t>
      </w:r>
    </w:p>
    <w:p w14:paraId="1CCC75C7" w14:textId="77777777" w:rsidR="0038020E" w:rsidRPr="005763C8" w:rsidRDefault="0038020E" w:rsidP="00F85C3B">
      <w:pPr>
        <w:pStyle w:val="Bodytext"/>
        <w:ind w:right="963"/>
        <w:rPr>
          <w:b/>
          <w:bCs/>
          <w:lang w:val="cs-CZ"/>
        </w:rPr>
      </w:pPr>
    </w:p>
    <w:p w14:paraId="57C065BC" w14:textId="75BE338C" w:rsidR="0038020E" w:rsidRPr="005763C8" w:rsidRDefault="0038020E" w:rsidP="00F85C3B">
      <w:pPr>
        <w:pStyle w:val="Bodytext"/>
        <w:ind w:right="963"/>
        <w:rPr>
          <w:b/>
          <w:bCs/>
          <w:lang w:val="cs-CZ"/>
        </w:rPr>
      </w:pPr>
      <w:r w:rsidRPr="005763C8">
        <w:rPr>
          <w:b/>
          <w:bCs/>
          <w:lang w:val="cs-CZ"/>
        </w:rPr>
        <w:t>Úsvit fyzické umělé inteligence ve výrobě</w:t>
      </w:r>
    </w:p>
    <w:p w14:paraId="0B0BD2DD" w14:textId="064A03C2" w:rsidR="0038020E" w:rsidRPr="005763C8" w:rsidRDefault="0038020E" w:rsidP="00F85C3B">
      <w:pPr>
        <w:pStyle w:val="Bodytext"/>
        <w:ind w:right="963"/>
        <w:rPr>
          <w:lang w:val="cs-CZ"/>
        </w:rPr>
      </w:pPr>
      <w:r w:rsidRPr="005763C8">
        <w:rPr>
          <w:lang w:val="cs-CZ"/>
        </w:rPr>
        <w:t>Fyzická umělá inteligence, tj. forma učení inteligentních strojů, jak vnímat, uvažovat a</w:t>
      </w:r>
      <w:r w:rsidR="00F85C3B">
        <w:rPr>
          <w:lang w:val="cs-CZ"/>
        </w:rPr>
        <w:t> </w:t>
      </w:r>
      <w:r w:rsidRPr="005763C8">
        <w:rPr>
          <w:lang w:val="cs-CZ"/>
        </w:rPr>
        <w:t>jednat v reálném světě, změní způsob výroby zboží. Mezeru mezi výzkumem v oblasti umělé inteligence a požadavky reálných průmyslových závodů lze překlenout pouze pomocí vysoce výkonného ekosystému, který zahrnuje špičkový výpočetní výkon umělé inteligence a simulace, osvědčenou robotickou platformu a pokročilou infrastrukturu průmyslové automatizace.</w:t>
      </w:r>
    </w:p>
    <w:p w14:paraId="617B39D9" w14:textId="77777777" w:rsidR="006A4C85" w:rsidRDefault="006A4C85" w:rsidP="00F85C3B">
      <w:pPr>
        <w:pStyle w:val="Bodytext"/>
        <w:ind w:right="963"/>
        <w:rPr>
          <w:lang w:val="cs-CZ"/>
        </w:rPr>
      </w:pPr>
    </w:p>
    <w:p w14:paraId="5FA51B89" w14:textId="1A76BFF1" w:rsidR="0038020E" w:rsidRDefault="0038020E" w:rsidP="00F85C3B">
      <w:pPr>
        <w:pStyle w:val="Bodytext"/>
        <w:ind w:right="963"/>
        <w:rPr>
          <w:lang w:val="cs-CZ"/>
        </w:rPr>
      </w:pPr>
      <w:r w:rsidRPr="005763C8">
        <w:rPr>
          <w:lang w:val="cs-CZ"/>
        </w:rPr>
        <w:lastRenderedPageBreak/>
        <w:t xml:space="preserve">Robot HMND 01 </w:t>
      </w:r>
      <w:proofErr w:type="spellStart"/>
      <w:r w:rsidRPr="005763C8">
        <w:rPr>
          <w:lang w:val="cs-CZ"/>
        </w:rPr>
        <w:t>Alpha</w:t>
      </w:r>
      <w:proofErr w:type="spellEnd"/>
      <w:r w:rsidRPr="005763C8">
        <w:rPr>
          <w:lang w:val="cs-CZ"/>
        </w:rPr>
        <w:t xml:space="preserve"> byl nasazen v logistickém provozu, kde autonomně prováděl manipulaci s přepravkami – zvedání, přepravu a jejich umístění pro pracovníky obsluhy. Všechny cílové hodnoty výkonu byly splněny, včetně výkonu 60 manipulačních pohybů za hodinu, doby provozuschopnosti přes osm hodin nebo více než 90% úspěšnosti autonomních úkonů zvednutí a umístění.</w:t>
      </w:r>
    </w:p>
    <w:p w14:paraId="7B41493E" w14:textId="77777777" w:rsidR="00957D32" w:rsidRPr="008F0F61" w:rsidRDefault="00957D32" w:rsidP="00F85C3B">
      <w:pPr>
        <w:pStyle w:val="Bodytext"/>
        <w:ind w:right="963"/>
        <w:rPr>
          <w:b/>
          <w:bCs/>
          <w:lang w:val="cs-CZ"/>
        </w:rPr>
      </w:pPr>
    </w:p>
    <w:p w14:paraId="2C1A8AAD" w14:textId="604B694B" w:rsidR="008F0F61" w:rsidRPr="008F0F61" w:rsidRDefault="008F0F61" w:rsidP="008F0F61">
      <w:pPr>
        <w:pStyle w:val="Bodytext"/>
        <w:ind w:right="963"/>
        <w:rPr>
          <w:b/>
          <w:bCs/>
          <w:lang w:val="cs-CZ"/>
        </w:rPr>
      </w:pPr>
      <w:r w:rsidRPr="008F0F61">
        <w:rPr>
          <w:b/>
          <w:bCs/>
          <w:lang w:val="cs-CZ"/>
        </w:rPr>
        <w:t xml:space="preserve">Platforma Siemens </w:t>
      </w:r>
      <w:proofErr w:type="spellStart"/>
      <w:r w:rsidRPr="008F0F61">
        <w:rPr>
          <w:b/>
          <w:bCs/>
          <w:lang w:val="cs-CZ"/>
        </w:rPr>
        <w:t>Xcelerator</w:t>
      </w:r>
      <w:proofErr w:type="spellEnd"/>
      <w:r w:rsidRPr="008F0F61">
        <w:rPr>
          <w:b/>
          <w:bCs/>
          <w:lang w:val="cs-CZ"/>
        </w:rPr>
        <w:t xml:space="preserve"> přispívá k budování páteřního průmyslového systému</w:t>
      </w:r>
    </w:p>
    <w:p w14:paraId="0EA01250" w14:textId="14E784AD" w:rsidR="0038020E" w:rsidRDefault="0038020E" w:rsidP="00F85C3B">
      <w:pPr>
        <w:pStyle w:val="Bodytext"/>
        <w:ind w:right="963"/>
        <w:rPr>
          <w:lang w:val="cs-CZ"/>
        </w:rPr>
      </w:pPr>
      <w:r w:rsidRPr="005763C8">
        <w:rPr>
          <w:lang w:val="cs-CZ"/>
        </w:rPr>
        <w:t>Skutečná hodnota humanoidního robota spočívá v jeho schopnosti stát se plně začleněnou a kolaborativní součástí průmyslových provozů. To znamená, že musí být schopen si vyměňovat data s výrobními systémy a dalšími autonomně řízeními vozíky v</w:t>
      </w:r>
      <w:r w:rsidR="00F85C3B">
        <w:rPr>
          <w:lang w:val="cs-CZ"/>
        </w:rPr>
        <w:t> </w:t>
      </w:r>
      <w:r w:rsidRPr="005763C8">
        <w:rPr>
          <w:lang w:val="cs-CZ"/>
        </w:rPr>
        <w:t>reálném čase, synchronizovat pracovní postupy s ostatními strojními zařízeními a</w:t>
      </w:r>
      <w:r w:rsidR="00F85C3B">
        <w:rPr>
          <w:lang w:val="cs-CZ"/>
        </w:rPr>
        <w:t> </w:t>
      </w:r>
      <w:r w:rsidRPr="005763C8">
        <w:rPr>
          <w:lang w:val="cs-CZ"/>
        </w:rPr>
        <w:t>pracovníky obsluhy a adaptivně a dynamicky reagovat na měnící se podmínky. Bez této rozsáhlé integrace zůstane i ten nejsofistikovanější robot pouze izolovanou funkcí a</w:t>
      </w:r>
      <w:r w:rsidR="00F85C3B">
        <w:rPr>
          <w:lang w:val="cs-CZ"/>
        </w:rPr>
        <w:t> </w:t>
      </w:r>
      <w:r w:rsidRPr="005763C8">
        <w:rPr>
          <w:lang w:val="cs-CZ"/>
        </w:rPr>
        <w:t>jednotkou.</w:t>
      </w:r>
    </w:p>
    <w:p w14:paraId="64B0E8DD" w14:textId="77777777" w:rsidR="005763C8" w:rsidRPr="005763C8" w:rsidRDefault="005763C8" w:rsidP="00F85C3B">
      <w:pPr>
        <w:pStyle w:val="Bodytext"/>
        <w:ind w:right="963"/>
        <w:rPr>
          <w:lang w:val="cs-CZ"/>
        </w:rPr>
      </w:pPr>
    </w:p>
    <w:p w14:paraId="2DEB2DCD" w14:textId="11E1B014" w:rsidR="0038020E" w:rsidRDefault="0038020E" w:rsidP="00F85C3B">
      <w:pPr>
        <w:pStyle w:val="Bodytext"/>
        <w:ind w:right="963"/>
        <w:rPr>
          <w:lang w:val="cs-CZ"/>
        </w:rPr>
      </w:pPr>
      <w:r w:rsidRPr="005763C8">
        <w:rPr>
          <w:lang w:val="cs-CZ"/>
        </w:rPr>
        <w:t xml:space="preserve">A právě tuto nesmírně důležitou součást poskytuje Siemens prostřednictvím portfolia Siemens </w:t>
      </w:r>
      <w:proofErr w:type="spellStart"/>
      <w:r w:rsidRPr="005763C8">
        <w:rPr>
          <w:lang w:val="cs-CZ"/>
        </w:rPr>
        <w:t>Xcelerator</w:t>
      </w:r>
      <w:proofErr w:type="spellEnd"/>
      <w:r w:rsidRPr="005763C8">
        <w:rPr>
          <w:lang w:val="cs-CZ"/>
        </w:rPr>
        <w:t xml:space="preserve"> – od komplexního digitálního dvojčete přes vnímání podporované umělou inteligencí až po integrované řízení a rozhraní mezi PLC a robotem. Nabídka zahrnuje i řízení vozového parku, průmyslové komunikační sítě či výkonné pohony. Všechny tyto technologie tvoří digitální páteř a automatizační infrastrukturu, které zajistí účinné fungování humanoidních robotů v souladu se širším továrním prostředím. Výsledkem je model pro nasazení humanoidů vhodný pro jakékoli výrobní a průmyslové zařízení.</w:t>
      </w:r>
    </w:p>
    <w:p w14:paraId="122CE17F" w14:textId="77777777" w:rsidR="005763C8" w:rsidRPr="005763C8" w:rsidRDefault="005763C8" w:rsidP="00F85C3B">
      <w:pPr>
        <w:pStyle w:val="Bodytext"/>
        <w:ind w:right="963"/>
        <w:rPr>
          <w:b/>
          <w:bCs/>
          <w:lang w:val="cs-CZ"/>
        </w:rPr>
      </w:pPr>
    </w:p>
    <w:p w14:paraId="3248E7CB" w14:textId="77777777" w:rsidR="0038020E" w:rsidRPr="005763C8" w:rsidRDefault="0038020E" w:rsidP="00F85C3B">
      <w:pPr>
        <w:pStyle w:val="Bodytext"/>
        <w:ind w:right="963"/>
        <w:rPr>
          <w:b/>
          <w:bCs/>
          <w:lang w:val="cs-CZ"/>
        </w:rPr>
      </w:pPr>
      <w:r w:rsidRPr="005763C8">
        <w:rPr>
          <w:b/>
          <w:bCs/>
          <w:lang w:val="cs-CZ"/>
        </w:rPr>
        <w:t>Rychlejší inteligence díky knihovnám, rámcům a AI infrastruktuře NVIDIA</w:t>
      </w:r>
    </w:p>
    <w:p w14:paraId="31F113D0" w14:textId="317CB769" w:rsidR="0038020E" w:rsidRDefault="0038020E" w:rsidP="00F85C3B">
      <w:pPr>
        <w:pStyle w:val="Bodytext"/>
        <w:ind w:right="963"/>
        <w:rPr>
          <w:lang w:val="cs-CZ"/>
        </w:rPr>
      </w:pPr>
      <w:r w:rsidRPr="005763C8">
        <w:rPr>
          <w:lang w:val="cs-CZ"/>
        </w:rPr>
        <w:t xml:space="preserve">Společnost Humanoid začlenila do platformy HMND 01 kompletní sadu technologií NVIDIA pro fyzickou umělou inteligenci, včetně NVIDIA </w:t>
      </w:r>
      <w:proofErr w:type="spellStart"/>
      <w:r w:rsidRPr="005763C8">
        <w:rPr>
          <w:lang w:val="cs-CZ"/>
        </w:rPr>
        <w:t>Jetson</w:t>
      </w:r>
      <w:proofErr w:type="spellEnd"/>
      <w:r w:rsidRPr="005763C8">
        <w:rPr>
          <w:lang w:val="cs-CZ"/>
        </w:rPr>
        <w:t xml:space="preserve"> Thor pro </w:t>
      </w:r>
      <w:proofErr w:type="spellStart"/>
      <w:r w:rsidRPr="005763C8">
        <w:rPr>
          <w:lang w:val="cs-CZ"/>
        </w:rPr>
        <w:t>edge</w:t>
      </w:r>
      <w:proofErr w:type="spellEnd"/>
      <w:r w:rsidRPr="005763C8">
        <w:rPr>
          <w:lang w:val="cs-CZ"/>
        </w:rPr>
        <w:t xml:space="preserve"> výpočetní výkon, NVIDIA Isaac Sim pro simulace a NVIDIA Isaac </w:t>
      </w:r>
      <w:proofErr w:type="spellStart"/>
      <w:r w:rsidRPr="005763C8">
        <w:rPr>
          <w:lang w:val="cs-CZ"/>
        </w:rPr>
        <w:t>Lab</w:t>
      </w:r>
      <w:proofErr w:type="spellEnd"/>
      <w:r w:rsidRPr="005763C8">
        <w:rPr>
          <w:lang w:val="cs-CZ"/>
        </w:rPr>
        <w:t xml:space="preserve"> na podporu učení a trénování politik. Výsledkem je výrazné zkrácení doby vývoje. Díky hardwaru, který nejprve provádí simulaci, mohl tým rovněž virtuálně optimalizovat volbu akčních členů, sílu kloubů a</w:t>
      </w:r>
      <w:r w:rsidR="00F85C3B">
        <w:rPr>
          <w:lang w:val="cs-CZ"/>
        </w:rPr>
        <w:t> </w:t>
      </w:r>
      <w:r w:rsidRPr="005763C8">
        <w:rPr>
          <w:lang w:val="cs-CZ"/>
        </w:rPr>
        <w:t>rozložení hmotnosti, a zkrátit tak dobu vývoje prototypu z běžných 18–24 měsíců na pouhých sedm měsíců.</w:t>
      </w:r>
    </w:p>
    <w:p w14:paraId="712BB7B0" w14:textId="77777777" w:rsidR="005763C8" w:rsidRPr="005763C8" w:rsidRDefault="005763C8" w:rsidP="00F85C3B">
      <w:pPr>
        <w:pStyle w:val="Bodytext"/>
        <w:ind w:right="963"/>
        <w:rPr>
          <w:lang w:val="cs-CZ"/>
        </w:rPr>
      </w:pPr>
    </w:p>
    <w:p w14:paraId="0891EDD4" w14:textId="59490AF4" w:rsidR="0038020E" w:rsidRDefault="0038020E" w:rsidP="00F85C3B">
      <w:pPr>
        <w:pStyle w:val="Bodytext"/>
        <w:ind w:right="963"/>
        <w:rPr>
          <w:lang w:val="cs-CZ"/>
        </w:rPr>
      </w:pPr>
      <w:r w:rsidRPr="005763C8">
        <w:rPr>
          <w:lang w:val="cs-CZ"/>
        </w:rPr>
        <w:t>„Továrny budoucnosti potřebují roboty, kteří jsou schopni autonomně vnímat, uvažovat a</w:t>
      </w:r>
      <w:r w:rsidR="00F85C3B">
        <w:rPr>
          <w:lang w:val="cs-CZ"/>
        </w:rPr>
        <w:t> </w:t>
      </w:r>
      <w:r w:rsidRPr="005763C8">
        <w:rPr>
          <w:lang w:val="cs-CZ"/>
        </w:rPr>
        <w:t xml:space="preserve">přizpůsobit se činnostem lidských pracovníků, aby pomohli vyřešit nedostatek </w:t>
      </w:r>
      <w:r w:rsidRPr="005763C8">
        <w:rPr>
          <w:lang w:val="cs-CZ"/>
        </w:rPr>
        <w:lastRenderedPageBreak/>
        <w:t xml:space="preserve">pracovních sil a provozní komplexnost, která je pro tradiční automatizaci náročná,“ uvedl </w:t>
      </w:r>
      <w:proofErr w:type="spellStart"/>
      <w:r w:rsidRPr="005763C8">
        <w:rPr>
          <w:lang w:val="cs-CZ"/>
        </w:rPr>
        <w:t>Deepu</w:t>
      </w:r>
      <w:proofErr w:type="spellEnd"/>
      <w:r w:rsidRPr="005763C8">
        <w:rPr>
          <w:lang w:val="cs-CZ"/>
        </w:rPr>
        <w:t xml:space="preserve"> </w:t>
      </w:r>
      <w:proofErr w:type="spellStart"/>
      <w:r w:rsidRPr="005763C8">
        <w:rPr>
          <w:lang w:val="cs-CZ"/>
        </w:rPr>
        <w:t>Talla</w:t>
      </w:r>
      <w:proofErr w:type="spellEnd"/>
      <w:r w:rsidRPr="005763C8">
        <w:rPr>
          <w:lang w:val="cs-CZ"/>
        </w:rPr>
        <w:t xml:space="preserve">, viceprezident společnosti NVIDIA pro robotiku a </w:t>
      </w:r>
      <w:proofErr w:type="spellStart"/>
      <w:r w:rsidRPr="005763C8">
        <w:rPr>
          <w:lang w:val="cs-CZ"/>
        </w:rPr>
        <w:t>Edge</w:t>
      </w:r>
      <w:proofErr w:type="spellEnd"/>
      <w:r w:rsidRPr="005763C8">
        <w:rPr>
          <w:lang w:val="cs-CZ"/>
        </w:rPr>
        <w:t xml:space="preserve"> AI. „Díky tomu, že Siemens poskytl základ pro průmyslovou integraci a firma Humanoid použila kompletní sadu řešení NVIDIA pro fyzickou umělou inteligenci – od tréninku založeného na simulacích až po </w:t>
      </w:r>
      <w:proofErr w:type="spellStart"/>
      <w:r w:rsidRPr="005763C8">
        <w:rPr>
          <w:lang w:val="cs-CZ"/>
        </w:rPr>
        <w:t>edge</w:t>
      </w:r>
      <w:proofErr w:type="spellEnd"/>
      <w:r w:rsidRPr="005763C8">
        <w:rPr>
          <w:lang w:val="cs-CZ"/>
        </w:rPr>
        <w:t xml:space="preserve"> inferenci v reálném čase – můžeme </w:t>
      </w:r>
      <w:proofErr w:type="gramStart"/>
      <w:r w:rsidRPr="005763C8">
        <w:rPr>
          <w:lang w:val="cs-CZ"/>
        </w:rPr>
        <w:t>říci</w:t>
      </w:r>
      <w:proofErr w:type="gramEnd"/>
      <w:r w:rsidRPr="005763C8">
        <w:rPr>
          <w:lang w:val="cs-CZ"/>
        </w:rPr>
        <w:t>, že tento případ využití představuje základ pro to, aby humanoidní roboti dosahovali skutečných výrobních cílů v</w:t>
      </w:r>
      <w:r w:rsidR="00937B88">
        <w:rPr>
          <w:lang w:val="cs-CZ"/>
        </w:rPr>
        <w:t> </w:t>
      </w:r>
      <w:r w:rsidRPr="005763C8">
        <w:rPr>
          <w:lang w:val="cs-CZ"/>
        </w:rPr>
        <w:t>reálném provozním prostředí.“</w:t>
      </w:r>
    </w:p>
    <w:p w14:paraId="79D753CA" w14:textId="77777777" w:rsidR="005763C8" w:rsidRPr="005763C8" w:rsidRDefault="005763C8" w:rsidP="00F85C3B">
      <w:pPr>
        <w:pStyle w:val="Bodytext"/>
        <w:ind w:right="963"/>
        <w:rPr>
          <w:b/>
          <w:bCs/>
          <w:lang w:val="cs-CZ"/>
        </w:rPr>
      </w:pPr>
    </w:p>
    <w:p w14:paraId="615D9AA2" w14:textId="77777777" w:rsidR="0038020E" w:rsidRPr="005763C8" w:rsidRDefault="0038020E" w:rsidP="00F85C3B">
      <w:pPr>
        <w:pStyle w:val="Bodytext"/>
        <w:ind w:right="963"/>
        <w:rPr>
          <w:b/>
          <w:bCs/>
          <w:lang w:val="cs-CZ"/>
        </w:rPr>
      </w:pPr>
      <w:r w:rsidRPr="005763C8">
        <w:rPr>
          <w:b/>
          <w:bCs/>
          <w:lang w:val="cs-CZ"/>
        </w:rPr>
        <w:t>Humanoid: Výroba humanoidů pro využití v továrnách</w:t>
      </w:r>
    </w:p>
    <w:p w14:paraId="5F0210AA" w14:textId="39425826" w:rsidR="0038020E" w:rsidRDefault="0038020E" w:rsidP="00F85C3B">
      <w:pPr>
        <w:pStyle w:val="Bodytext"/>
        <w:ind w:right="963"/>
        <w:rPr>
          <w:lang w:val="cs-CZ"/>
        </w:rPr>
      </w:pPr>
      <w:r w:rsidRPr="005763C8">
        <w:rPr>
          <w:lang w:val="cs-CZ"/>
        </w:rPr>
        <w:t xml:space="preserve">Britská společnost Humanoid, která se zaměřuje na umělou inteligenci a robotiku, vytvořila humanoidního robota HMND 01 </w:t>
      </w:r>
      <w:proofErr w:type="spellStart"/>
      <w:r w:rsidRPr="005763C8">
        <w:rPr>
          <w:lang w:val="cs-CZ"/>
        </w:rPr>
        <w:t>Alpha</w:t>
      </w:r>
      <w:proofErr w:type="spellEnd"/>
      <w:r w:rsidRPr="005763C8">
        <w:rPr>
          <w:lang w:val="cs-CZ"/>
        </w:rPr>
        <w:t xml:space="preserve"> speciálně pro průmyslové provozy. Díky spojení všesměrové mobilní kolové platformy s pokročilými možnostmi manipulace a</w:t>
      </w:r>
      <w:r w:rsidR="00F85C3B">
        <w:rPr>
          <w:lang w:val="cs-CZ"/>
        </w:rPr>
        <w:t> </w:t>
      </w:r>
      <w:r w:rsidRPr="005763C8">
        <w:rPr>
          <w:lang w:val="cs-CZ"/>
        </w:rPr>
        <w:t xml:space="preserve">řízení na bázi systému </w:t>
      </w:r>
      <w:proofErr w:type="spellStart"/>
      <w:r w:rsidRPr="005763C8">
        <w:rPr>
          <w:lang w:val="cs-CZ"/>
        </w:rPr>
        <w:t>KinetIQ</w:t>
      </w:r>
      <w:proofErr w:type="spellEnd"/>
      <w:r w:rsidRPr="005763C8">
        <w:rPr>
          <w:lang w:val="cs-CZ"/>
        </w:rPr>
        <w:t xml:space="preserve"> dokáže robot HMND 01 fungovat v prostředích, kde jinak pracují lidé, přizpůsobit se nejrůznějším úlohám a zvládat komplexní činnosti.</w:t>
      </w:r>
    </w:p>
    <w:p w14:paraId="74203771" w14:textId="77777777" w:rsidR="005763C8" w:rsidRPr="005763C8" w:rsidRDefault="005763C8" w:rsidP="00F85C3B">
      <w:pPr>
        <w:pStyle w:val="Bodytext"/>
        <w:ind w:right="963"/>
        <w:rPr>
          <w:lang w:val="cs-CZ"/>
        </w:rPr>
      </w:pPr>
    </w:p>
    <w:p w14:paraId="6D464576" w14:textId="77777777" w:rsidR="0038020E" w:rsidRPr="005763C8" w:rsidRDefault="0038020E" w:rsidP="00F85C3B">
      <w:pPr>
        <w:pStyle w:val="Bodytext"/>
        <w:ind w:right="963"/>
        <w:rPr>
          <w:lang w:val="cs-CZ"/>
        </w:rPr>
      </w:pPr>
      <w:r w:rsidRPr="005763C8">
        <w:rPr>
          <w:lang w:val="cs-CZ"/>
        </w:rPr>
        <w:t>„Chceme vytvořit humanoidní roboty, kteří fungují nejen v řízeném laboratorním prostředí, ale i v reálných průmyslových provozech, kde mohou provádět smysluplné úlohy. Spolupráce s firmami Siemens a NVIDIA nám nabízí obrovské výhody – a to především díky spojení špičkové AI infrastruktury, simulačních nástrojů a rámců NVIDIA s hlubokými znalostmi a zkušenostmi společnosti Siemens v oblasti průmyslových řešení a možností integrace,“ uvedl Artem Sokolov, generální ředitel a zakladatel společnosti Humanoid. „Společně jsme dokázali, že humanoidní roboti jsou připraveni na nasazení v reálném průmyslovém prostředí.“</w:t>
      </w:r>
    </w:p>
    <w:p w14:paraId="6D420D8B" w14:textId="77777777" w:rsidR="00AF1AA4" w:rsidRDefault="00AF1AA4" w:rsidP="00F85C3B">
      <w:pPr>
        <w:pStyle w:val="Bodytext"/>
        <w:ind w:right="963"/>
      </w:pPr>
    </w:p>
    <w:p w14:paraId="515B7435" w14:textId="6797213B" w:rsidR="00273849" w:rsidRPr="000E1AED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Fotografie ke stažení:</w:t>
      </w:r>
      <w:r w:rsidR="00273849">
        <w:rPr>
          <w:rFonts w:ascii="Arial" w:hAnsi="Arial" w:cs="Arial"/>
          <w:b/>
          <w:bCs/>
          <w:color w:val="000000"/>
        </w:rPr>
        <w:t xml:space="preserve"> </w:t>
      </w:r>
      <w:hyperlink r:id="rId10" w:history="1">
        <w:r w:rsidR="00273849" w:rsidRPr="000E1AED">
          <w:rPr>
            <w:rStyle w:val="Hyperlink"/>
            <w:rFonts w:ascii="Arial" w:hAnsi="Arial" w:cs="Arial"/>
          </w:rPr>
          <w:t>https://www.siemenspress.cz/siemens-a-humanoid-testuji-humanoidy-s-technologiemi-nvidia-v-realnem-prumyslovem-provozu/</w:t>
        </w:r>
      </w:hyperlink>
    </w:p>
    <w:p w14:paraId="4334C3BF" w14:textId="3E5B5868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14:paraId="5A465911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57D3C37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71FF2B82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653514A8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06669BE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2" w:history="1">
        <w:r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3F36967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3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1C1F63E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8FD7E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A31C3C9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230B6FC" w14:textId="77777777" w:rsidR="001504AB" w:rsidRPr="0088736D" w:rsidRDefault="001504AB" w:rsidP="001504AB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</w:t>
      </w:r>
      <w:r w:rsidRPr="0088736D">
        <w:rPr>
          <w:rFonts w:ascii="Arial" w:hAnsi="Arial" w:cs="Arial"/>
          <w:sz w:val="16"/>
          <w:szCs w:val="16"/>
        </w:rPr>
        <w:lastRenderedPageBreak/>
        <w:t>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4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41E8A788" w14:textId="6ECBC693" w:rsidR="001504AB" w:rsidRPr="0068226D" w:rsidRDefault="001504AB" w:rsidP="001504AB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 w:rsidR="003F5D27">
        <w:rPr>
          <w:rFonts w:ascii="Arial" w:hAnsi="Arial" w:cs="Arial"/>
          <w:sz w:val="16"/>
          <w:szCs w:val="16"/>
        </w:rPr>
        <w:t xml:space="preserve">více než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5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56FD8E9" w14:textId="77777777" w:rsidR="001504AB" w:rsidRPr="0014635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EE12793" w14:textId="77777777" w:rsidR="001504A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p w14:paraId="19FF2A69" w14:textId="77777777" w:rsidR="00D477C0" w:rsidRDefault="00D477C0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sectPr w:rsidR="00D477C0" w:rsidSect="00D477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900C" w14:textId="77777777" w:rsidR="00BD6E9E" w:rsidRDefault="00BD6E9E">
      <w:pPr>
        <w:spacing w:after="0" w:line="240" w:lineRule="auto"/>
      </w:pPr>
      <w:r>
        <w:separator/>
      </w:r>
    </w:p>
  </w:endnote>
  <w:endnote w:type="continuationSeparator" w:id="0">
    <w:p w14:paraId="395B2300" w14:textId="77777777" w:rsidR="00BD6E9E" w:rsidRDefault="00BD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79" w14:textId="77777777" w:rsidR="00BA5017" w:rsidRDefault="00BA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</w:t>
    </w:r>
    <w:proofErr w:type="gramStart"/>
    <w:r>
      <w:rPr>
        <w:rFonts w:ascii="Arial" w:hAnsi="Arial" w:cs="Arial"/>
        <w:color w:val="000000"/>
        <w:sz w:val="16"/>
        <w:szCs w:val="16"/>
      </w:rPr>
      <w:t>00  Praha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BA76" w14:textId="77777777" w:rsidR="00BD6E9E" w:rsidRDefault="00BD6E9E">
      <w:pPr>
        <w:spacing w:after="0" w:line="240" w:lineRule="auto"/>
      </w:pPr>
      <w:r>
        <w:separator/>
      </w:r>
    </w:p>
  </w:footnote>
  <w:footnote w:type="continuationSeparator" w:id="0">
    <w:p w14:paraId="4D7234D0" w14:textId="77777777" w:rsidR="00BD6E9E" w:rsidRDefault="00BD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D90" w14:textId="77777777" w:rsidR="00BA5017" w:rsidRDefault="00BA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0BD390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466FE"/>
    <w:multiLevelType w:val="hybridMultilevel"/>
    <w:tmpl w:val="C728C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4"/>
  </w:num>
  <w:num w:numId="4" w16cid:durableId="770246978">
    <w:abstractNumId w:val="5"/>
  </w:num>
  <w:num w:numId="5" w16cid:durableId="953050870">
    <w:abstractNumId w:val="1"/>
  </w:num>
  <w:num w:numId="6" w16cid:durableId="649747341">
    <w:abstractNumId w:val="0"/>
  </w:num>
  <w:num w:numId="7" w16cid:durableId="113253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640E0"/>
    <w:rsid w:val="00084FAB"/>
    <w:rsid w:val="000E1AED"/>
    <w:rsid w:val="000F7942"/>
    <w:rsid w:val="001504AB"/>
    <w:rsid w:val="001A4222"/>
    <w:rsid w:val="001B002E"/>
    <w:rsid w:val="001B6C27"/>
    <w:rsid w:val="0020170F"/>
    <w:rsid w:val="0024031E"/>
    <w:rsid w:val="00244CD8"/>
    <w:rsid w:val="002577BB"/>
    <w:rsid w:val="00273849"/>
    <w:rsid w:val="00275005"/>
    <w:rsid w:val="00285228"/>
    <w:rsid w:val="002D1A06"/>
    <w:rsid w:val="002D3072"/>
    <w:rsid w:val="002D4AF5"/>
    <w:rsid w:val="003404C0"/>
    <w:rsid w:val="00375602"/>
    <w:rsid w:val="003770ED"/>
    <w:rsid w:val="0038020E"/>
    <w:rsid w:val="003F5D27"/>
    <w:rsid w:val="00401F6D"/>
    <w:rsid w:val="00485020"/>
    <w:rsid w:val="00492A5E"/>
    <w:rsid w:val="004973EF"/>
    <w:rsid w:val="004C6EF6"/>
    <w:rsid w:val="004E6EF1"/>
    <w:rsid w:val="005763C8"/>
    <w:rsid w:val="00582F8B"/>
    <w:rsid w:val="00595A16"/>
    <w:rsid w:val="005A64E5"/>
    <w:rsid w:val="00603559"/>
    <w:rsid w:val="00642483"/>
    <w:rsid w:val="00663FA3"/>
    <w:rsid w:val="006772DB"/>
    <w:rsid w:val="0068226D"/>
    <w:rsid w:val="006A4C85"/>
    <w:rsid w:val="006A5236"/>
    <w:rsid w:val="006C45FA"/>
    <w:rsid w:val="00770749"/>
    <w:rsid w:val="00873870"/>
    <w:rsid w:val="00875868"/>
    <w:rsid w:val="0088736D"/>
    <w:rsid w:val="008A0228"/>
    <w:rsid w:val="008B78F9"/>
    <w:rsid w:val="008C4EC6"/>
    <w:rsid w:val="008C63B4"/>
    <w:rsid w:val="008D7CAA"/>
    <w:rsid w:val="008F0F61"/>
    <w:rsid w:val="0092459A"/>
    <w:rsid w:val="009266D3"/>
    <w:rsid w:val="00926869"/>
    <w:rsid w:val="00937B88"/>
    <w:rsid w:val="00957D32"/>
    <w:rsid w:val="00985C58"/>
    <w:rsid w:val="00991D2B"/>
    <w:rsid w:val="009B2DD2"/>
    <w:rsid w:val="009D384C"/>
    <w:rsid w:val="00A166FC"/>
    <w:rsid w:val="00A30D93"/>
    <w:rsid w:val="00AE5C3C"/>
    <w:rsid w:val="00AF1AA4"/>
    <w:rsid w:val="00B02CC0"/>
    <w:rsid w:val="00B56073"/>
    <w:rsid w:val="00B616F9"/>
    <w:rsid w:val="00B83018"/>
    <w:rsid w:val="00BA393F"/>
    <w:rsid w:val="00BA5017"/>
    <w:rsid w:val="00BD261F"/>
    <w:rsid w:val="00BD6E9E"/>
    <w:rsid w:val="00C32AC9"/>
    <w:rsid w:val="00C94FE9"/>
    <w:rsid w:val="00D32BE7"/>
    <w:rsid w:val="00D477C0"/>
    <w:rsid w:val="00D618F6"/>
    <w:rsid w:val="00DD4E62"/>
    <w:rsid w:val="00DE7021"/>
    <w:rsid w:val="00E20A51"/>
    <w:rsid w:val="00ED3E7A"/>
    <w:rsid w:val="00F227E7"/>
    <w:rsid w:val="00F85C3B"/>
    <w:rsid w:val="00FB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SiemensCze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x.com/SiemensCze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na.kellerova@siemen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emens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iemenspress.cz/siemens-a-humanoid-testuji-humanoidy-s-technologiemi-nvidia-v-realnem-prumyslovem-provozu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iemens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fef0262c20a04ecf118442bc29db9c7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1109e11e78f0ea458122df5fc967c5e5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  <TaxCatchAll xmlns="78bfd587-dabe-43ab-a00d-36a28e9d64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4D74E-5410-4B86-B6A7-6A0B4B75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49444-3C8D-42DD-ADF7-6B2EAC78C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36430c-ae53-4274-9684-4da1052b8568"/>
    <ds:schemaRef ds:uri="78bfd587-dabe-43ab-a00d-36a28e9d6446"/>
  </ds:schemaRefs>
</ds:datastoreItem>
</file>

<file path=customXml/itemProps3.xml><?xml version="1.0" encoding="utf-8"?>
<ds:datastoreItem xmlns:ds="http://schemas.openxmlformats.org/officeDocument/2006/customXml" ds:itemID="{3E26BDD7-37C2-47DA-ABD4-30042C512D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7342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23</cp:revision>
  <dcterms:created xsi:type="dcterms:W3CDTF">2026-04-27T09:25:00Z</dcterms:created>
  <dcterms:modified xsi:type="dcterms:W3CDTF">2026-04-27T11:26:00Z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ediaServiceImageTags">
    <vt:lpwstr/>
  </property>
  <property fmtid="{D5CDD505-2E9C-101B-9397-08002B2CF9AE}" pid="15" name="ContentTypeId">
    <vt:lpwstr>0x010100F3D8E61590E6FA4E848FE4E5F774573A</vt:lpwstr>
  </property>
</Properties>
</file>